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center"/>
        <w:rPr>
          <w:rFonts w:hint="eastAsia" w:ascii="方正小标宋简体" w:hAnsi="方正小标宋简体" w:eastAsia="方正小标宋简体" w:cs="方正小标宋简体"/>
          <w:i w:val="0"/>
          <w:iCs w:val="0"/>
          <w:caps w:val="0"/>
          <w:color w:val="4C4C4C"/>
          <w:spacing w:val="0"/>
          <w:sz w:val="44"/>
          <w:szCs w:val="44"/>
        </w:rPr>
      </w:pPr>
      <w:r>
        <w:rPr>
          <w:rFonts w:hint="eastAsia" w:ascii="方正小标宋简体" w:hAnsi="方正小标宋简体" w:eastAsia="方正小标宋简体" w:cs="方正小标宋简体"/>
          <w:i w:val="0"/>
          <w:iCs w:val="0"/>
          <w:caps w:val="0"/>
          <w:color w:val="4C4C4C"/>
          <w:spacing w:val="0"/>
          <w:sz w:val="44"/>
          <w:szCs w:val="44"/>
        </w:rPr>
        <w:t>烟台市人民代表大会常务委员会公告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center"/>
        <w:rPr>
          <w:rFonts w:hint="eastAsia" w:ascii="楷体" w:hAnsi="楷体" w:eastAsia="楷体" w:cs="楷体"/>
          <w:i w:val="0"/>
          <w:iCs w:val="0"/>
          <w:caps w:val="0"/>
          <w:color w:val="4C4C4C"/>
          <w:spacing w:val="0"/>
          <w:sz w:val="32"/>
          <w:szCs w:val="32"/>
        </w:rPr>
      </w:pPr>
      <w:r>
        <w:rPr>
          <w:rFonts w:hint="eastAsia" w:ascii="楷体" w:hAnsi="楷体" w:eastAsia="楷体" w:cs="楷体"/>
          <w:i w:val="0"/>
          <w:iCs w:val="0"/>
          <w:caps w:val="0"/>
          <w:color w:val="4C4C4C"/>
          <w:spacing w:val="0"/>
          <w:sz w:val="32"/>
          <w:szCs w:val="32"/>
        </w:rPr>
        <w:t>（第29号）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left="0" w:right="0" w:firstLine="640" w:firstLineChars="200"/>
        <w:jc w:val="both"/>
        <w:textAlignment w:val="auto"/>
        <w:rPr>
          <w:rFonts w:hint="eastAsia" w:ascii="仿宋_GB2312" w:hAnsi="仿宋_GB2312" w:eastAsia="仿宋_GB2312" w:cs="仿宋_GB2312"/>
          <w:i w:val="0"/>
          <w:iCs w:val="0"/>
          <w:caps w:val="0"/>
          <w:color w:val="4C4C4C"/>
          <w:spacing w:val="0"/>
          <w:sz w:val="32"/>
          <w:szCs w:val="32"/>
        </w:rPr>
      </w:pPr>
      <w:r>
        <w:rPr>
          <w:rFonts w:hint="eastAsia" w:ascii="仿宋_GB2312" w:hAnsi="仿宋_GB2312" w:eastAsia="仿宋_GB2312" w:cs="仿宋_GB2312"/>
          <w:i w:val="0"/>
          <w:iCs w:val="0"/>
          <w:caps w:val="0"/>
          <w:color w:val="4C4C4C"/>
          <w:spacing w:val="0"/>
          <w:sz w:val="32"/>
          <w:szCs w:val="32"/>
        </w:rPr>
        <w:t>《烟台市人民代表大会常务委员会关于修改〈烟台市饮用水水源保护条例〉〈烟台市城市供水条例〉的决定》已于2023年8月24日经烟台市第十八届人民代表大会常务委员会第十二次会议通过，并于2023年9月27日经山东省第十四届人民代表大会常务委员会第五次会议批准，现予公布，自公布之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left="0" w:right="0" w:firstLine="640" w:firstLineChars="200"/>
        <w:jc w:val="righ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sz w:val="32"/>
          <w:szCs w:val="32"/>
        </w:rPr>
        <w:t>烟台市人民代表大会常务委员会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left="0" w:right="0" w:firstLine="600" w:firstLineChars="200"/>
        <w:jc w:val="righ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sz w:val="30"/>
          <w:szCs w:val="30"/>
        </w:rPr>
        <w:t>2023年9月27日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烟台市人民代表大会常务委员会关于修改《烟台市饮用水水源保护条例》《烟台市城市供水条例》的决定</w:t>
      </w:r>
    </w:p>
    <w:p>
      <w:pPr>
        <w:jc w:val="center"/>
        <w:rPr>
          <w:rFonts w:hint="eastAsia" w:ascii="仿宋_GB2312" w:hAnsi="仿宋_GB2312" w:eastAsia="仿宋_GB2312" w:cs="仿宋_GB2312"/>
          <w:sz w:val="30"/>
          <w:szCs w:val="30"/>
        </w:rPr>
      </w:pPr>
    </w:p>
    <w:p>
      <w:pPr>
        <w:jc w:val="center"/>
        <w:rPr>
          <w:rFonts w:hint="eastAsia" w:ascii="楷体" w:hAnsi="楷体" w:eastAsia="楷体" w:cs="楷体"/>
          <w:sz w:val="32"/>
          <w:szCs w:val="32"/>
        </w:rPr>
      </w:pPr>
      <w:r>
        <w:rPr>
          <w:rFonts w:hint="eastAsia" w:ascii="楷体" w:hAnsi="楷体" w:eastAsia="楷体" w:cs="楷体"/>
          <w:sz w:val="32"/>
          <w:szCs w:val="32"/>
        </w:rPr>
        <w:t>（2023年8月24日烟台市第十八届人民代表大会常务委员会第十二次会议通过　2023年9月27日山东省第十四届人民代表大会常务委员会第五次会议批准）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rPr>
          <w:rFonts w:ascii="微软雅黑" w:hAnsi="微软雅黑" w:eastAsia="微软雅黑" w:cs="微软雅黑"/>
          <w:b w:val="0"/>
          <w:bCs w:val="0"/>
          <w:i w:val="0"/>
          <w:iCs w:val="0"/>
          <w:caps w:val="0"/>
          <w:color w:val="4C4C4C"/>
          <w:spacing w:val="0"/>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烟台市第十八届人民代表大会常务委员会第十二次会议决定：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一、对《烟台市饮用水水源保护条例》作出修改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1.将第四条、第五条、第七条、第十条、第十二条、第十七条、第十八条、第二十条中的“县（市、区）”修改为“区（市）”。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2.将第九条修改为：“生态环境部门负责饮用水水源保护的统一监督管理。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“公安、财政、自然资源和规划、住房城乡建设、城市管理、水利、农业农村等部门按照各自职责，做好饮用水水源保护管理有关工作。”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3.将第十一条修改为：“乡镇人民政府应当依法做好本辖区内饮用水水源保护相关工作。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“居民委员会、村民委员会可以结合实际，在村规民约或者居民公约中约定居民、村民保护饮用水水源的义务，落实保护措施。”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4.将第十三条修改为：“市、区（市）人民政府应当在饮用水水源保护区的边界设立明确的地理界标和明显的警示标志，在一级保护区周边人类活动频繁的区域设置隔离防护设施。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“任何单位和个人不得毁坏、擅自移动饮用水水源保护区边界地理界标、警示标志和隔离防护设施。”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5.将第十四条第八项修改为：“（八）在水库、河道等采石、采砂、取土、弃置砂石”。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6.将第十四条第十一项修改为：“（十一）销售剧毒、高毒农药”。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7.将第十五条第三项修改为：“（三）游泳、垂钓、水上训练、旅游或者其他可能污染饮用水水体的活动”。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将第十六条修改为：“市、区（市）人民政府及其农业农村等行政主管部门应当采取有效措施，指导农产品生产者科学施用农药和化肥，实行农药化肥补贴制，推广使用高效、低毒、低残留农药和水肥一体化、病虫害绿色防控等技术，大力发展生态农业，逐步降低农业面源污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“严禁在饮用水水源保护区内使用农药。农药使用者不得在饮用水水源保护区、河道内丢弃农药、农药包装物或者清洗施药器械。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“饮用水水源保护区内的农产品生产者应当按照国家有关规定，安全、合理施用化肥，采用先进农业技术，减少化肥使用量。”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9.将第十八条、第十九条、第二十一条、第二十二条、第二十四条、第二十七条、第二十八条第一款中的“环境保护行政主管部门”修改为“生态环境部门”。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10.将第十八条中的“当地人民政府”修改为“县级以上地方人民政府”。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11.删去第二十三条第二款，将第二十三条第一款中的“农业行政主管部门”修改为“农业农村部门”。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12.将第二十五条修改为：“违反本条例规定，在饮用水水源保护区内的水库、河道等采石、采砂、取土、弃置砂石的，由水行政主管部门责令停止违法行为，采取补救措施，处一万元以上五万元以下的罚款。”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将第二十六条修改为：“违反本条例规定，在饮用水水源一级保护区内组织进行旅游、游泳、垂钓、水上训练或者其他可能污染饮用水水体的活动的，由生态环境部门责令停止违法行为，处二万元以上十万元以下的罚款。个人在饮用水水源一级保护区内进行旅游、游泳、垂钓或者其他可能污染饮用水水体的活动的，由生态环境部门责令停止违法行为，处一百元以上五百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14.将第二十八条第二款修改为：“违反本条例第十三条第三款、第十四条第九项、第十项、第十一项规定的，分别由公安机关、自然资源和规划部门、水行政主管部门依照有关法律、法规的规定予以处罚。”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15.增加一条，作为第二十九条：“本条例规定的行政处罚，按照相对集中行政处罚权的有关规定，应当由城市管理（综合行政执法）部门处罚的，依照其规定。”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将第二十九条改为第三十条，修改为：“饮用水水源保护有关行政主管部门的工作人员违反本条例，在饮用水水源保护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二、对《烟台市城市供水条例》作出修改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1.将第四条修改为：“市、区（市）人民政府城市供水行政主管部门负责本辖区城市供水监督管理工作。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“发展改革、自然资源和规划、财政、城市管理、住房城乡建设、水利、生态环境、公安、市场监督管理、卫生健康等部门应当按照各自职责，做好城市供水相关工作。”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2.将第五条、第十一条、第十五条、第二十九条、第三十条、第三十一条中的“县（市、区）”修改为“区（市）”；将第六条中的“县（市）”修改为“区（市）”。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3.将第十四条第一项修改为：“（一）在城市公共供水设施安全保护范围内，修建建筑物或者构筑物、堆放物品、开挖渠沟、打井、取土、采石等危害供水设施安全的活动”。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4.将第二十六条第二款修改为：“用户对结算水表准确性提出异议的，由用户和供水单位共同委托有关计量检定机构检测。”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5.将第三十一条中的“环境保护”修改为“生态环境”；将第三十一条、第三十八条中的“卫生行政主管部门”修改为“卫生健康部门”。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6.删去第三十九条第一款第一项。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7.将第三十九条第一款第二项改为第一项，修改为：“（一）供水水压未达到国家标准的，处五万元以上十万元以下罚款”。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将第三十九条第二款修改为：“有前款第一项、第二项、第三项行为之一，情节严重的，报经有批准权的人民政府批准，可以责令停业整顿，对直接负责的主管人员和其他直接责任人员依法给予处分。二次供水设施管理单位违反本条例规定，有前款第一项、第二项、第三项行为之一或者未采取防污染措施的，由城市供水行政主管部门责令限期改正，给予警告，可以并处三万元以下罚款；有前款第四项行为的，由城市供水行政主管部门给予警告，并处以三万元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9.删去第四十条。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10.将第四十一条改为第四十条，将第二项修改为：“（二）将化粪池、污水井（池）直接穿过、浸没公共供水管道的，处三千元以上三万元以下罚款”。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增加一款，作为第二款：“有前款第三项、第四项、第五项所列行为之一，情节严重的，经县级以上人民政府批准，还可以在一定时间内停止供水。”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将第四十二条改为第四十一条，修改为：“违反本条例规定，盗用、转供城市公共供水的，由城市供水行政主管部门责令停止违法行为，处二千元以上二万元以下罚款；情节严重的，经县级以上人民政府批准，还可以在一定时间内停止供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12.将第四十三条改为第四十二条，修改为：“本条例规定的行政处罚，按照相对集中行政处罚权的有关规定，应当由城市管理（综合行政执法）部门处罚的，依照其规定。”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将第四十四条改为第四十三条，修改为：“城市供水行政主管部门和相关职能部门的工作人员滥用职权、玩忽职守、徇私舞弊或者不履行城市供水监督管理职责的，由其所在单位或者上级机关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此外，对条文顺序和个别文字作相应调整和修改。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本决定自公布之日起施行。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《烟台市饮用水水源保护条例》《烟台市城市供水条例》根据本决定作相应修改，重新公布。</w:t>
      </w:r>
    </w:p>
    <w:p>
      <w:pPr>
        <w:jc w:val="center"/>
        <w:rPr>
          <w:rFonts w:hint="eastAsia" w:ascii="方正小标宋_GBK" w:hAnsi="方正小标宋_GBK" w:eastAsia="方正小标宋_GBK" w:cs="方正小标宋_GBK"/>
          <w:b/>
          <w:bCs/>
          <w:sz w:val="36"/>
          <w:szCs w:val="36"/>
        </w:rPr>
      </w:pPr>
    </w:p>
    <w:p>
      <w:pPr>
        <w:jc w:val="center"/>
        <w:rPr>
          <w:rFonts w:hint="eastAsia" w:ascii="方正小标宋_GBK" w:hAnsi="方正小标宋_GBK" w:eastAsia="方正小标宋_GBK" w:cs="方正小标宋_GBK"/>
          <w:b/>
          <w:bCs/>
          <w:sz w:val="36"/>
          <w:szCs w:val="36"/>
        </w:rPr>
      </w:pPr>
      <w:bookmarkStart w:id="0" w:name="_GoBack"/>
      <w:bookmarkEnd w:id="0"/>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烟台市城市供水条例</w:t>
      </w:r>
    </w:p>
    <w:p>
      <w:pPr>
        <w:jc w:val="center"/>
        <w:rPr>
          <w:rFonts w:hint="eastAsia" w:ascii="仿宋_GB2312" w:hAnsi="仿宋_GB2312" w:eastAsia="仿宋_GB2312" w:cs="仿宋_GB2312"/>
          <w:sz w:val="30"/>
          <w:szCs w:val="30"/>
        </w:rPr>
      </w:pPr>
    </w:p>
    <w:p>
      <w:pPr>
        <w:jc w:val="center"/>
        <w:rPr>
          <w:rFonts w:hint="eastAsia" w:ascii="楷体" w:hAnsi="楷体" w:eastAsia="楷体" w:cs="楷体"/>
          <w:sz w:val="32"/>
          <w:szCs w:val="32"/>
        </w:rPr>
      </w:pPr>
      <w:r>
        <w:rPr>
          <w:rFonts w:hint="eastAsia" w:ascii="楷体" w:hAnsi="楷体" w:eastAsia="楷体" w:cs="楷体"/>
          <w:sz w:val="32"/>
          <w:szCs w:val="32"/>
        </w:rPr>
        <w:t>（2017年12月12日烟台市第十七届人民代表大会常务委员会第六次会议通过　2018年1月23日山东省第十二届人民代表大会常务委员会第三十五次会议批准　根据2023年8月24日烟台市第十八届人民代表大会常务委员会第十二次会议通过　2023年9月27日山东省第十四届人民代表大会常务委员会第五次会议批准的《烟台市人民代表大会常务委员会关于修改〈烟台市饮用水水源保护条例〉〈烟台市城市供水条例〉的决定》修正）</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 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规划建设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设施管理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供水用水管理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水质安全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二次供水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法律责任</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附则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为了加强城市供水管理，保障城市供水安全，根据《中华人民共和国水法》、国务院《城市供水条例》等有关法律、法规，结合本市实际，制定本条例。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本条例适用于本市行政区域内城市供水、用水和相关监督管理活动。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城市供水应当遵循统一规划、科学管理、保障供给、确保安全的原则，优先保障居民生活用水，统筹安排工业用水和其他用水。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市、区（市）人民政府城市供水行政主管部门负责本辖区城市供水监督管理工作。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发展改革、自然资源和规划、财政、城市管理、住房城乡建设、水利、生态环境、公安、市场监督管理、卫生健康等部门应当按照各自职责，做好城市供水相关工作。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市、区（市）人民政府应当将城市供水事业纳入国民经济和社会发展计划，保证城市供水基础设施建设的财政投入，适应城市发展需求。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规划建设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市、区（市）人民政府城市供水行政主管部门应当会同有关部门依据城市总体规划和水资源综合规划，编制城市供水专项规划，经同级人民政府批准后组织实施。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城市供水行政主管部门应当根据城市供水专项规划和用水需求，制定城市供水工程年度建设改造计划，经同级人民政府批准后组织实施。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新建、改建、扩建城市供水工程应当符合城市供水专项规划和年度建设改造计划，并依法履行基本建设程序。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新建、改建、扩建工程项目，需要配套建设城市供水设施的，应当与主体工程同时设计、同时施工、同时投入使用。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城市供水工程的设计、施工、监理，应委托具有相应资质的单位承担，并遵守国家有关技术标准和规范。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城市供水工程使用的设备、管材、配件等，质量应当符合国家标准或者行业标准。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新建住宅应当按照一户一表、计量出户的要求设计和建设供水设施。已建住宅供水设施，具备条件的应当逐步实施一户一表、计量出户改造。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户表改造和新建住宅水表应当积极推行智能化管理。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新建、改建、扩建商住综合建筑的，商用和住宅的供水管道应当分别铺设，单独计量。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城市供水工程竣工后，应当按照国家规定组织验收；未经验收或者验收不合格的，不得投入使用。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在城市公共供水管网覆盖区域不得新建地下水取水工程；未经批准的地下水取水工程和公共供水管网覆盖范围内的自备水井，由市、区（市）人民政府水行政主管部门限期封闭。</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与城市供水工程规划、设计、招投标、材料采购、施工等有关的单位和个人，应当按照国家保密规定，使用和管理城市供水工程的整体规划、现状图以及管线的综合图文资料。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设施管理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供水单位应当对其负责管理的城市公共供水设施定期进行检查和维护，确保设施安全运行。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禁止下列损害城市公共供水设施、危害城市公共供水安全的行为：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（一）在城市公共供水设施安全保护范围内，从事修建建筑物或者构筑物、堆放物品、开挖渠沟、打井、取土、采石等危害供水设施安全的活动；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（二）向城市公共供水设施排放生活污水、工业废水以及有毒有害物质；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（三）将化粪池或者污水井（池）直接穿过、浸没城市公共供水管道；</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（四）将再生水管道、直供海水管道或者擅自将自建设施供水管网系统与城市公共供水管网系统连接；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（五）产生或者使用有毒有害物质的单位将其生产用水管网系统与城市公共供水管网系统直接连接；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（六）在城市公共供水设施安全保护范围内，种植可能危及城市公共供水电力设施安全的树木、高秆作物或者在城市公共供水专用配电线路和设施上搭接其他用电线路；</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（七）掩埋、圈占城市公共供水设施或者擅自启闭供水阀门；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（八）其他损害城市公共供水设施或者危害供水安全的行为。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城市公共供水设施的安全保护范围由城市供水行政主管部门划定。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因工程建设需要迁移、改建城市公共供水管道等设施的，建设单位应当经市、区（市）城市供水行政主管部门批准，并采取相应的补救措施。具体补救措施由建设单位与供水单位签订协议，明确迁移、改建费用和补偿事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在城市公共供水管网覆盖范围内的建设工程开工前，建设单位应当到供水单位查明地下供水管网情况。因挖掘、强夯、打桩、爆破、顶进等施工作业可能影响供水设施安全的,建设单位或者施工单位应当与供水单位签订供水设施保护协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建设供水工程应当同步建设消火栓、消防控制阀门等消防供水设施。消防供水设施应当专用，除火灾扑救和应急救援外，任何单位和个人不得擅自启用。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供水单位接到城市公共供水设施发生跑水、漏水等故障报告后，应当立即组织抢修。供水单位抢修供水设施时，有关单位和个人应当给予支持和配合，任何单位和个人不得阻挠。</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供水用水管理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城市供水实行特许经营。供水单位应当取得城市供水特许经营权，在特许经营范围内从事供水经营活动。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供水单位应当保持不间断供水，不得擅自停止供水。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工程施工、设施维修等原因需要停止供水的，供水单位应当报告城市供水行政主管部门，并提前二十四小时通知用户和公安消防部门。因自然灾害、突发事故等原因造成停止供水的，供水单位应当在抢修的同时通知用户和公安消防部门，尽快恢复供水，并报告城市供水行政主管部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连续停止供水超过二十四小时的，供水单位应当采取应急供水措施，为居民提供基本生活用水。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供水单位应当按照国家有关规定设置供水管网测压点，做好水压检测，保证供水管网的压力符合国家规定的标准。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供水单位应当在营业场所公示用水办理程序、服务规范、收费项目和标准，并提供用水量、水价、水费以及相关事项的查询服务，用户对查询结果有异议的，供水单位应当自提出异议之日起三个工作日内予以处理并答复。</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用户需要供水单位供水、停止用水、恢复用水、更名过户、调整用水量、变更用水类别、调整用水范围等，应当到供水单位办理相关手续。</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城市公共供水价格实行政府定价管理，遵循补偿成本、合理收益、公平负担、节约用水的原则，按照用水性质分类定价。需要调整城市居民生活用水价格的，价格行政主管部门应当组织听证。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供水单位应当与用户签订供水用水合同，明确供水用水双方权利义务。</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需要临时用水的用户，应当到供水单位办理用水手续，签订临时供水用水合同。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城市供水用水应当按照户表计量结算。供水单位应当为用户安装检定合格的结算水表。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用户应当按照合同约定向供水单位缴纳水费。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供水单位应当对结算水表进行定期检定，经检定不合格的，应当予以更换。</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用户对结算水表准确性提出异议的，由用户和供水单位共同委托有关计量检定机构检测。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禁止下列盗用城市公共供水的行为：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（一）在城市公共供水管道上直接装泵抽水、接管抽水的；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（二）擅自开启消火栓和消防控制阀门取水的；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（三）绕越结算水表取水的；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（四）拆除、伪造、开启结算水表防盗装置取水的；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（五）致使结算水表停滞、失灵、逆行的；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（六）隐瞒或者改变用水类别的；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（七）其他盗用城市公共供水行为的。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禁止任何单位和个人转供城市公共供水。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水质安全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城市供水水质应当符合国家《生活饮用水卫生标准》。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市、区（市）人民政府应当组织编制饮用水安全突发事件应急预案，组织有关部门监测、评估本行政区域供水单位供水和用户水龙头出水的水质等饮用水安全状况。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城市供水行政主管部门应当建立健全安全监督检查制度，落实城市供水水质安全保障措施。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供水单位应当根据所在地饮用水安全突发事件应急预案，制定相应的突发事件应急方案，报所在地市、区（市）人民政府备案，并定期进行演练。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饮用水水源发生水污染事故，或者发生其他可能影响饮用水安全的突发性事件，供水单位应当立即采取应急处理措施，向所在地市、区（市）人民政府报告，并向社会公开。有关人民政府应当根据情况及时启动应急预案，采取有效措施，保障供水安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城市供水行政主管部门应当加强对供水单位执行国家城市供水水质标准情况的监督检查，委托具有相应资质的检测机构对水质进行检测，并至少每季度向社会发布一次水质公告。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卫生健康部门应当按照职责，加强对居民生活饮用水的卫生监督监测。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供水单位应当对其供水水质负责，建立健全水质管理和检测制度，按照相关的技术标准和规范对取水口、出水口等进行水质检测，并向城市供水行政主管部门和卫生健康部门报送检测资料。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水单位发现取水口水质不符合饮用水水源水质标准或者出水口水质不符合饮用水卫生标准的，应当及时采取相应措施，并向所在地市、区（市）人民政府城市供水行政主管部门报告。城市供水行政主管部门接到报告后，应当通报生态环境、卫生健康、水行政等主管部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城市供水管道和设备应当符合保障水质安全的要求。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供水单位应当使用符合国家标准的净水剂、消毒剂等涉及饮用水卫生安全的产品，并按照卫生规范要求对供水设施进行清洗、消毒。</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新建、改建、扩建的城市供水水池、输配水管道，在投入使用前，必须进行清洗消毒，经城市供水行政主管部门认定的水质检测机构检测合格后，方可投入使用。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直接从事城市公共供水作业的人员，应当依法取得体检合格证并经过卫生知识培训后，方可上岗。供水单位应当为其建立健康档案，每年至少组织一次健康检查。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法律、法规对水质安全另有规定的，适用其规定。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二次供水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本条例所称二次供水，是指因建筑物高度或者地理位置对水压要求超过城市公共供水管网服务压力的，将城市公共供水经过储存、加压后再向用户供给的供水方式。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本条例所称二次供水设施，是指为二次供水设置的供水管道、水池、水箱、压力水容器、水泵、阀门、电控装置、消毒设备、深度处理设备、水质监控设备、设备用房等设施。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新建、改建、扩建的建筑物对水压要求超过城市公共供水管网服务压力时，应当配套建设二次供水设施。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二次供水设施管理单位应当保证二次供水设施正常运行，保证水压符合国家规定标准，在设施发生故障时，应当立即进行抢修。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因计划检修、清洗消毒或者工程施工等原因需停止供水时，二次供水设施管理单位应当提前二十四小时通知用户。因突发事故不能提前通知的，应当在抢修的同时通知用户。</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二次供水设施管理单位应当采取防污染措施，保证水质符合国家标准，确保供水安全。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城市供水行政主管部门应当加强对二次供水水质的监督管理，定期对二次供水的水质、水压以及管理维护情况进行检查；卫生健康部门应当定期对二次供水的水质、二次供水设施的清洗消毒情况进行监督监测。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二次供水设施管理单位应当每半年对二次供水设施进行清洗消毒，并委托有资质的专业检测单位进行水质检测，检测结果向相关用户公布，并向城市供水行政主管部门和卫生健康部门报送检测资料。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二次供水水质受到污染时，二次供水设施管理单位应当立即采取措施，消除污染，并向城市供水行政主管部门和卫生健康部门报告。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法律责任</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供水单位违反本条例规定，有下列行为之一的，由城市供水行政主管部门责令停止违法行为或者限期改正，按照下列规定给予处罚：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（一）供水水压未达到国家标准的，处五万元以上十万元以下罚款；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（二）擅自停止供水或者未履行停水通知义务的，处一万元以上五万元以下罚款；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（三）供水设施发生故障后未及时抢修的，处一万元以上五万元以下罚款；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（四）未按照规定对供水设施清洗、消毒的，处一万元以上五万元以下罚款。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第一项、第二项、第三项行为之一，情节严重的，报经有批准权的人民政府批准，可以责令停业整顿，对直接负责的主管人员和其他直接责任人员依法给予处分。二次供水设施管理单位违反本条例规定，有前款第一项、第二项、第三项行为之一或者未采取防污染措施的，由城市供水行政主管部门责令限期改正，给予警告，可以并处三万元以下罚款；有前款第四项行为的，由城市供水行政主管部门给予警告，并处以三万元的罚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违反本条例规定，有下列行为之一的，由城市供水行政主管部门责令停止违法行为或者限期改正，按照下列规定给予处罚：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（一）在城市公共供水设施安全保护范围内，进行危害供水设施安全行为的，处五千元以上二万元以下罚款；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（二）将化粪池、污水井（池）直接穿过、浸没公共供水管道的，处三千元以上三万元以下罚款；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（三）将再生水管道、直供海水管道或者擅自将自建设施供水管网系统与城市公共供水管网系统连接，处一万元以上五万元以下罚款；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（四）产生或者使用有毒有害物质的单位将其生产用水管网系统与公共供水管网系统直接连接的，处一万元以上十万元以下罚款；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（五）擅自迁移、改建城市公共供水设施的，处一万元以上五万元以下罚款；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（六）掩埋、圈占城市公共供水设施或者擅自启闭公共供水阀门，以及其他损害公共供水设施或者危害供水安全行为的，处一千元以上二万元以下罚款。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有前款第三项、第四项、第五项所列行为之一，情节严重的，经县级以上人民政府批准，还可以在一定时间内停止供水。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违反本条例规定，盗用、转供城市公共供水的，由城市供水行政主管部门责令停止违法行为，处二千元以上二万元以下罚款；情节严重的，经县级以上人民政府批准，还可以在一定时间内停止供水。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本条例规定的行政处罚，按照相对集中行政处罚权的有关规定，应当由城市管理（综合行政执法）部门处罚的，依照其规定。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城市供水行政主管部门和相关职能部门的工作人员滥用职权、玩忽职守、徇私舞弊或者不履行城市供水监督管理职责的，由其所在单位或者上级机关依法给予处分；构成犯罪的，依法追究刑事责任。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附则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本条例自2018年5月1日起施行。</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"http://tongji.baidu.com/hm-web/welcome/ico?s=b8c1ee5eb4da73f0aca18bce66daca3b" \t "http://www.shm.com.cn/szb/ytrb/paper/pc/content/202309/29/_blank"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OWQwNjM0ZjAwMzkzNmRjYTZkYWFmNWNjY2MzZGQifQ=="/>
  </w:docVars>
  <w:rsids>
    <w:rsidRoot w:val="00000000"/>
    <w:rsid w:val="0729411E"/>
    <w:rsid w:val="08F85DF8"/>
    <w:rsid w:val="0D15073F"/>
    <w:rsid w:val="1C0766E1"/>
    <w:rsid w:val="3BAE2878"/>
    <w:rsid w:val="6F7B4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2023-10-07T02:33:00Z</dcterms:created>
  <dc:creator>Administrator</dc:creator>
  <cp:lastModifiedBy>一颗小柠檬</cp:lastModifiedBy>
  <dcterms:modified xsi:type="dcterms:W3CDTF">2023-10-07T03:40:59Z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80FD7BAA8F0149D88E27E22B2EAA3D1C_12</vt:lpwstr>
  </property>
</Properties>
</file>